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9008C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61B27432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B608AB">
                    <w:rPr>
                      <w:rFonts w:asciiTheme="minorHAnsi" w:hAnsiTheme="minorHAnsi" w:cstheme="minorHAnsi"/>
                      <w:bCs/>
                    </w:rPr>
                    <w:t>- personeel om de verschillende activaties te begeleiden, faciliteren, een team te verzamelen</w:t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2E505CF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007284E4" w:rsidR="00DC69AE" w:rsidRPr="005354BD" w:rsidRDefault="00B608AB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2E91303" w14:textId="0902E38E" w:rsidR="00DC69AE" w:rsidRPr="00B608AB" w:rsidRDefault="00B608AB" w:rsidP="00B608AB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Flyers, social media advertenties</w:t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107A9E78" w:rsidR="00DC69AE" w:rsidRPr="005354BD" w:rsidRDefault="00B608AB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0B6B3B13" w14:textId="77777777" w:rsidR="00DC69AE" w:rsidRDefault="00DC69AE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  <w:p w14:paraId="35B48762" w14:textId="77777777" w:rsidR="00B608AB" w:rsidRDefault="00B608AB" w:rsidP="00B608AB">
                  <w:pPr>
                    <w:rPr>
                      <w:rFonts w:asciiTheme="minorHAnsi" w:hAnsiTheme="minorHAnsi" w:cstheme="minorHAnsi"/>
                    </w:rPr>
                  </w:pPr>
                </w:p>
                <w:p w14:paraId="34CC31AE" w14:textId="77777777" w:rsidR="00B608AB" w:rsidRDefault="00B608AB" w:rsidP="00B608AB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</w:rPr>
                  </w:pPr>
                  <w:r w:rsidRPr="00B608AB">
                    <w:rPr>
                      <w:rFonts w:asciiTheme="minorHAnsi" w:hAnsiTheme="minorHAnsi" w:cstheme="minorHAnsi"/>
                    </w:rPr>
                    <w:t xml:space="preserve">Experts die kennis kunnen binnen brengen. Bv rond podcast uitwerken, studentenjobs creëren,… </w:t>
                  </w:r>
                </w:p>
                <w:p w14:paraId="0F84EFB7" w14:textId="122AB1DC" w:rsidR="00B608AB" w:rsidRPr="00B608AB" w:rsidRDefault="00B608AB" w:rsidP="00B608AB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Vrijwilligers betalen die mee helpen tijdens de </w:t>
                  </w:r>
                  <w:r w:rsidR="009775E9">
                    <w:rPr>
                      <w:rFonts w:asciiTheme="minorHAnsi" w:hAnsiTheme="minorHAnsi" w:cstheme="minorHAnsi"/>
                    </w:rPr>
                    <w:t>activatieweken- dagen</w:t>
                  </w:r>
                </w:p>
              </w:tc>
            </w:tr>
            <w:tr w:rsidR="00DC69AE" w:rsidRPr="005354BD" w14:paraId="0593D450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15AF6A75" w14:textId="4385E3E0" w:rsidR="00DC69AE" w:rsidRPr="005354BD" w:rsidRDefault="00DC69AE" w:rsidP="00F6014F"/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1238E619" w:rsidR="00DC69AE" w:rsidRPr="005354BD" w:rsidRDefault="009775E9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3.0</w:t>
            </w:r>
            <w:r w:rsidR="00B608AB">
              <w:rPr>
                <w:rFonts w:asciiTheme="minorHAnsi" w:hAnsiTheme="minorHAnsi" w:cstheme="minorHAnsi"/>
              </w:rPr>
              <w:t>00</w:t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0AF612D7" w:rsidR="0026703C" w:rsidRPr="00B608AB" w:rsidRDefault="00B608AB" w:rsidP="00B608AB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>Aankoop materiaal voor inrichting. Bv een vloer, meubelen</w:t>
                  </w: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4DFFF4BD" w:rsidR="0026703C" w:rsidRPr="005354BD" w:rsidRDefault="00B608AB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2.500</w:t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768FAD4" w14:textId="097597D3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2088CD69" w:rsidR="0026703C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36C5BD68" w:rsidR="0026703C" w:rsidRPr="005354BD" w:rsidRDefault="009775E9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10.000</w:t>
            </w:r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BDA203E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0AA67F88" w:rsidR="00025436" w:rsidRPr="005354BD" w:rsidRDefault="00F25022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5B13" w14:textId="77777777" w:rsidR="001F2EF1" w:rsidRDefault="001F2EF1" w:rsidP="00DC69AE">
      <w:r>
        <w:separator/>
      </w:r>
    </w:p>
  </w:endnote>
  <w:endnote w:type="continuationSeparator" w:id="0">
    <w:p w14:paraId="28AF9650" w14:textId="77777777" w:rsidR="001F2EF1" w:rsidRDefault="001F2EF1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35CB" w14:textId="77777777" w:rsidR="001F2EF1" w:rsidRDefault="001F2EF1" w:rsidP="00DC69AE">
      <w:r>
        <w:separator/>
      </w:r>
    </w:p>
  </w:footnote>
  <w:footnote w:type="continuationSeparator" w:id="0">
    <w:p w14:paraId="6373AF80" w14:textId="77777777" w:rsidR="001F2EF1" w:rsidRDefault="001F2EF1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5CA1"/>
    <w:multiLevelType w:val="hybridMultilevel"/>
    <w:tmpl w:val="CF7EB058"/>
    <w:lvl w:ilvl="0" w:tplc="6E006A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C65FA"/>
    <w:multiLevelType w:val="hybridMultilevel"/>
    <w:tmpl w:val="3B545BD8"/>
    <w:lvl w:ilvl="0" w:tplc="A73890F2">
      <w:start w:val="905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7821">
    <w:abstractNumId w:val="7"/>
  </w:num>
  <w:num w:numId="2" w16cid:durableId="1174606124">
    <w:abstractNumId w:val="5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  <w:num w:numId="7" w16cid:durableId="1736465686">
    <w:abstractNumId w:val="6"/>
  </w:num>
  <w:num w:numId="8" w16cid:durableId="894002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1F2EF1"/>
    <w:rsid w:val="0026703C"/>
    <w:rsid w:val="00292AA2"/>
    <w:rsid w:val="00487386"/>
    <w:rsid w:val="005354BD"/>
    <w:rsid w:val="005710EF"/>
    <w:rsid w:val="007D4490"/>
    <w:rsid w:val="00966578"/>
    <w:rsid w:val="00973238"/>
    <w:rsid w:val="009775E9"/>
    <w:rsid w:val="00B608AB"/>
    <w:rsid w:val="00B83001"/>
    <w:rsid w:val="00C21A34"/>
    <w:rsid w:val="00DC69AE"/>
    <w:rsid w:val="00E41F93"/>
    <w:rsid w:val="00E97843"/>
    <w:rsid w:val="00EE6306"/>
    <w:rsid w:val="00F25022"/>
    <w:rsid w:val="00F6014F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  <w:style w:type="paragraph" w:styleId="Lijstalinea">
    <w:name w:val="List Paragraph"/>
    <w:basedOn w:val="Standaard"/>
    <w:uiPriority w:val="34"/>
    <w:qFormat/>
    <w:rsid w:val="00B6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Karolien De Craecker</cp:lastModifiedBy>
  <cp:revision>3</cp:revision>
  <dcterms:created xsi:type="dcterms:W3CDTF">2023-01-10T09:05:00Z</dcterms:created>
  <dcterms:modified xsi:type="dcterms:W3CDTF">2023-04-30T07:54:00Z</dcterms:modified>
</cp:coreProperties>
</file>